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D0991" w14:paraId="18A9E72A"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1F3864"/>
            <w:tcMar>
              <w:top w:w="240" w:type="dxa"/>
              <w:left w:w="360" w:type="dxa"/>
              <w:bottom w:w="240" w:type="dxa"/>
              <w:right w:w="360" w:type="dxa"/>
            </w:tcMar>
          </w:tcPr>
          <w:p w14:paraId="2A0B6886" w14:textId="77777777" w:rsidR="005D0991" w:rsidRDefault="005225E1">
            <w:pPr>
              <w:jc w:val="center"/>
            </w:pPr>
            <w:r>
              <w:rPr>
                <w:b/>
                <w:bCs/>
                <w:color w:val="FFFFFF"/>
                <w:sz w:val="36"/>
                <w:szCs w:val="36"/>
              </w:rPr>
              <w:t>EAP Research Consultancy Limited</w:t>
            </w:r>
          </w:p>
          <w:p w14:paraId="12B59926" w14:textId="77777777" w:rsidR="005D0991" w:rsidRDefault="005225E1">
            <w:pPr>
              <w:spacing w:before="120"/>
              <w:jc w:val="center"/>
            </w:pPr>
            <w:r>
              <w:rPr>
                <w:b/>
                <w:bCs/>
                <w:color w:val="FFFFFF"/>
                <w:sz w:val="28"/>
                <w:szCs w:val="28"/>
              </w:rPr>
              <w:t>Equality, Diversity and Inclusion Policy</w:t>
            </w:r>
          </w:p>
          <w:p w14:paraId="5BC110AF" w14:textId="77777777" w:rsidR="005D0991" w:rsidRDefault="005225E1">
            <w:pPr>
              <w:spacing w:before="80"/>
              <w:jc w:val="center"/>
            </w:pPr>
            <w:r>
              <w:rPr>
                <w:color w:val="D6E4F0"/>
              </w:rPr>
              <w:t xml:space="preserve">Version </w:t>
            </w:r>
            <w:proofErr w:type="gramStart"/>
            <w:r>
              <w:rPr>
                <w:color w:val="D6E4F0"/>
              </w:rPr>
              <w:t>2.0  |</w:t>
            </w:r>
            <w:proofErr w:type="gramEnd"/>
            <w:r>
              <w:rPr>
                <w:color w:val="D6E4F0"/>
              </w:rPr>
              <w:t xml:space="preserve">  March 2026</w:t>
            </w:r>
          </w:p>
        </w:tc>
      </w:tr>
    </w:tbl>
    <w:p w14:paraId="4915E4B7" w14:textId="77777777" w:rsidR="005D0991" w:rsidRDefault="005D0991">
      <w:pPr>
        <w:spacing w:before="160"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5D0991" w14:paraId="7B30AEA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7F40BA2" w14:textId="77777777" w:rsidR="005D0991" w:rsidRDefault="005225E1">
            <w:r>
              <w:rPr>
                <w:b/>
                <w:bCs/>
              </w:rPr>
              <w:t>Policy owner:</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6F26D0" w14:textId="77777777" w:rsidR="005D0991" w:rsidRDefault="005225E1">
            <w:r>
              <w:t>Dr Jonathan Hobson, Managing Director</w:t>
            </w:r>
          </w:p>
        </w:tc>
      </w:tr>
      <w:tr w:rsidR="005D0991" w14:paraId="251D514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5AA6776" w14:textId="77777777" w:rsidR="005D0991" w:rsidRDefault="005225E1">
            <w:r>
              <w:rPr>
                <w:b/>
                <w:bCs/>
              </w:rPr>
              <w:t>Last reviewed:</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4FE552" w14:textId="77777777" w:rsidR="005D0991" w:rsidRDefault="005225E1">
            <w:r>
              <w:t>March 2026</w:t>
            </w:r>
          </w:p>
        </w:tc>
      </w:tr>
      <w:tr w:rsidR="005D0991" w14:paraId="3226919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0C31BFA" w14:textId="77777777" w:rsidR="005D0991" w:rsidRDefault="005225E1">
            <w:r>
              <w:rPr>
                <w:b/>
                <w:bCs/>
              </w:rPr>
              <w:t>Next review due:</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153F35" w14:textId="77777777" w:rsidR="005D0991" w:rsidRDefault="005225E1">
            <w:r>
              <w:t>March 2027</w:t>
            </w:r>
          </w:p>
        </w:tc>
      </w:tr>
      <w:tr w:rsidR="005D0991" w14:paraId="4172550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CAD518A" w14:textId="77777777" w:rsidR="005D0991" w:rsidRDefault="005225E1">
            <w:r>
              <w:rPr>
                <w:b/>
                <w:bCs/>
              </w:rPr>
              <w:t>Applies to:</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1DC743" w14:textId="77777777" w:rsidR="005D0991" w:rsidRDefault="005225E1">
            <w:r>
              <w:t>All directors, employees, associates, and sub-contractors</w:t>
            </w:r>
          </w:p>
        </w:tc>
      </w:tr>
      <w:tr w:rsidR="005D0991" w14:paraId="5EB84DE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A346812" w14:textId="77777777" w:rsidR="005D0991" w:rsidRDefault="005225E1">
            <w:r>
              <w:rPr>
                <w:b/>
                <w:bCs/>
              </w:rPr>
              <w:t>Related documents:</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8970C7" w14:textId="77777777" w:rsidR="005D0991" w:rsidRDefault="005225E1">
            <w:r>
              <w:t>Anti-Racism Statement; Modern Slavery Statement; Data Protection Policy</w:t>
            </w:r>
          </w:p>
        </w:tc>
      </w:tr>
    </w:tbl>
    <w:p w14:paraId="5F912E98" w14:textId="77777777" w:rsidR="005D0991" w:rsidRDefault="005D0991">
      <w:pPr>
        <w:spacing w:before="200" w:after="80"/>
      </w:pPr>
    </w:p>
    <w:p w14:paraId="5FB56657" w14:textId="77777777" w:rsidR="005D0991" w:rsidRDefault="005225E1">
      <w:pPr>
        <w:pStyle w:val="Heading1"/>
      </w:pPr>
      <w:r>
        <w:t>1. Introduction and Commitment</w:t>
      </w:r>
    </w:p>
    <w:p w14:paraId="4D2411BD" w14:textId="77777777" w:rsidR="005D0991" w:rsidRDefault="005225E1">
      <w:pPr>
        <w:spacing w:before="80" w:after="80"/>
      </w:pPr>
      <w:r>
        <w:t>EAP Research Consultancy Limited is committed to encouraging equality, diversity and inclusion (EDI) among our workforce, associates, and consultants, and to eliminating unlawful discrimination in all its forms.</w:t>
      </w:r>
    </w:p>
    <w:p w14:paraId="7BC95C58" w14:textId="77777777" w:rsidR="005D0991" w:rsidRDefault="005D0991">
      <w:pPr>
        <w:spacing w:before="80" w:after="80"/>
      </w:pPr>
    </w:p>
    <w:p w14:paraId="76E89041" w14:textId="77777777" w:rsidR="005D0991" w:rsidRDefault="005225E1">
      <w:pPr>
        <w:spacing w:before="80" w:after="80"/>
      </w:pPr>
      <w:r>
        <w:t>We aim for our team to be truly representative of all sections of society, and for every person working with or for us to feel respected, valued, and able to give their best. This commitment extends beyond our internal workforce to how we engage with clients, research participants, sub-contractors, and the wider public.</w:t>
      </w:r>
    </w:p>
    <w:p w14:paraId="52F30A38" w14:textId="77777777" w:rsidR="005D0991" w:rsidRDefault="005D0991">
      <w:pPr>
        <w:spacing w:before="80" w:after="80"/>
      </w:pPr>
    </w:p>
    <w:p w14:paraId="50DBE2E1" w14:textId="77777777" w:rsidR="005D0991" w:rsidRDefault="005225E1">
      <w:pPr>
        <w:spacing w:before="80" w:after="80"/>
      </w:pPr>
      <w:r>
        <w:t>As a Disability Confident Committed employer, we are committed to inclusive recruitment practices and to supporting disabled people and those with long-term health conditions to thrive in our workplace. We actively seek to remove barriers to participation in employment and in our research activities.</w:t>
      </w:r>
    </w:p>
    <w:p w14:paraId="1E9BB818" w14:textId="77777777" w:rsidR="005D0991" w:rsidRDefault="005D0991">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D0991" w14:paraId="7DC474BD" w14:textId="77777777">
        <w:tblPrEx>
          <w:tblCellMar>
            <w:top w:w="0" w:type="dxa"/>
            <w:bottom w:w="0" w:type="dxa"/>
          </w:tblCellMar>
        </w:tblPrEx>
        <w:tc>
          <w:tcPr>
            <w:tcW w:w="9026" w:type="dxa"/>
            <w:tcBorders>
              <w:top w:val="single" w:sz="4" w:space="0" w:color="1F3864"/>
              <w:left w:val="single" w:sz="4" w:space="0" w:color="1F3864"/>
              <w:bottom w:val="single" w:sz="4" w:space="0" w:color="1F3864"/>
              <w:right w:val="single" w:sz="4" w:space="0" w:color="1F3864"/>
            </w:tcBorders>
            <w:shd w:val="clear" w:color="auto" w:fill="EBF3FB"/>
            <w:tcMar>
              <w:top w:w="160" w:type="dxa"/>
              <w:left w:w="240" w:type="dxa"/>
              <w:bottom w:w="160" w:type="dxa"/>
              <w:right w:w="240" w:type="dxa"/>
            </w:tcMar>
          </w:tcPr>
          <w:p w14:paraId="56F228D7" w14:textId="77777777" w:rsidR="005D0991" w:rsidRDefault="005225E1">
            <w:pPr>
              <w:spacing w:after="60"/>
            </w:pPr>
            <w:r>
              <w:rPr>
                <w:b/>
                <w:bCs/>
              </w:rPr>
              <w:t>EAP Research Consultancy is a Disability Confident Committed employer.</w:t>
            </w:r>
          </w:p>
          <w:p w14:paraId="23159BD2" w14:textId="77777777" w:rsidR="005D0991" w:rsidRDefault="005D0991">
            <w:pPr>
              <w:spacing w:before="60" w:after="60"/>
            </w:pPr>
          </w:p>
          <w:p w14:paraId="0F07875B" w14:textId="77777777" w:rsidR="005D0991" w:rsidRDefault="005225E1">
            <w:pPr>
              <w:spacing w:before="60" w:after="60"/>
            </w:pPr>
            <w:r>
              <w:t>We are committed to:</w:t>
            </w:r>
          </w:p>
          <w:p w14:paraId="2EE06D26" w14:textId="77777777" w:rsidR="005D0991" w:rsidRDefault="005225E1">
            <w:pPr>
              <w:spacing w:before="60" w:after="60"/>
            </w:pPr>
            <w:r>
              <w:t>•  Actively encouraging applications from disabled people</w:t>
            </w:r>
          </w:p>
          <w:p w14:paraId="72C82265" w14:textId="77777777" w:rsidR="005D0991" w:rsidRDefault="005225E1">
            <w:pPr>
              <w:spacing w:before="60" w:after="60"/>
            </w:pPr>
            <w:r>
              <w:t>•  Offering an interview to disabled applicants who meet the minimum criteria for a role</w:t>
            </w:r>
          </w:p>
          <w:p w14:paraId="02DC637F" w14:textId="77777777" w:rsidR="005D0991" w:rsidRDefault="005225E1">
            <w:pPr>
              <w:spacing w:before="60" w:after="60"/>
            </w:pPr>
            <w:r>
              <w:t>•  Providing reasonable adjustments throughout recruitment and employment</w:t>
            </w:r>
          </w:p>
          <w:p w14:paraId="5BE1BAB4" w14:textId="77777777" w:rsidR="005D0991" w:rsidRDefault="005225E1">
            <w:pPr>
              <w:spacing w:before="60" w:after="60"/>
            </w:pPr>
            <w:r>
              <w:t>•  Supporting employees and associates with disabilities or long-term health conditions</w:t>
            </w:r>
          </w:p>
        </w:tc>
      </w:tr>
    </w:tbl>
    <w:p w14:paraId="74BF7656" w14:textId="77777777" w:rsidR="005D0991" w:rsidRDefault="005D0991">
      <w:pPr>
        <w:spacing w:before="200" w:after="80"/>
      </w:pPr>
    </w:p>
    <w:p w14:paraId="07E42302" w14:textId="77777777" w:rsidR="000C14C8" w:rsidRDefault="000C14C8">
      <w:pPr>
        <w:spacing w:before="200" w:after="80"/>
      </w:pPr>
    </w:p>
    <w:p w14:paraId="1AFD6978" w14:textId="77777777" w:rsidR="000C14C8" w:rsidRDefault="000C14C8">
      <w:pPr>
        <w:spacing w:before="200" w:after="80"/>
      </w:pPr>
    </w:p>
    <w:p w14:paraId="702BAEDC" w14:textId="77777777" w:rsidR="005D0991" w:rsidRDefault="005225E1">
      <w:pPr>
        <w:pStyle w:val="Heading1"/>
      </w:pPr>
      <w:r>
        <w:lastRenderedPageBreak/>
        <w:t>2. Scope</w:t>
      </w:r>
    </w:p>
    <w:p w14:paraId="56E0243C" w14:textId="77777777" w:rsidR="005D0991" w:rsidRDefault="005225E1">
      <w:pPr>
        <w:spacing w:before="80" w:after="80"/>
      </w:pPr>
      <w:r>
        <w:t>This policy applies to all directors, employees, associates, freelance researchers, and sub-contractors engaged by EAP Research Consultancy, whether on a permanent, temporary, part-time, or project basis. It also governs how we treat clients, research participants, and members of the public in the course of our work.</w:t>
      </w:r>
    </w:p>
    <w:p w14:paraId="6FDAE471" w14:textId="77777777" w:rsidR="005D0991" w:rsidRDefault="005D0991">
      <w:pPr>
        <w:spacing w:before="200" w:after="80"/>
      </w:pPr>
    </w:p>
    <w:p w14:paraId="3B7AAA4D" w14:textId="77777777" w:rsidR="005D0991" w:rsidRDefault="005225E1">
      <w:pPr>
        <w:pStyle w:val="Heading1"/>
      </w:pPr>
      <w:r>
        <w:t>3. Legal Framework</w:t>
      </w:r>
    </w:p>
    <w:p w14:paraId="6BE43180" w14:textId="77777777" w:rsidR="005D0991" w:rsidRDefault="005225E1">
      <w:pPr>
        <w:spacing w:before="80" w:after="80"/>
      </w:pPr>
      <w:r>
        <w:t xml:space="preserve">This policy is underpinned by the Equality Act 2010 and its protected characteristics. EAP Research Consultancy will not unlawfully discriminate </w:t>
      </w:r>
      <w:proofErr w:type="gramStart"/>
      <w:r>
        <w:t>on the basis of</w:t>
      </w:r>
      <w:proofErr w:type="gramEnd"/>
      <w:r>
        <w:t xml:space="preserve"> any of the following:</w:t>
      </w:r>
    </w:p>
    <w:p w14:paraId="2C4BDA10" w14:textId="77777777" w:rsidR="005D0991" w:rsidRDefault="005225E1">
      <w:pPr>
        <w:pStyle w:val="ListParagraph"/>
        <w:numPr>
          <w:ilvl w:val="0"/>
          <w:numId w:val="2"/>
        </w:numPr>
        <w:spacing w:before="60" w:after="60"/>
      </w:pPr>
      <w:r>
        <w:t>Age</w:t>
      </w:r>
    </w:p>
    <w:p w14:paraId="74F95447" w14:textId="77777777" w:rsidR="005D0991" w:rsidRDefault="005225E1">
      <w:pPr>
        <w:pStyle w:val="ListParagraph"/>
        <w:numPr>
          <w:ilvl w:val="0"/>
          <w:numId w:val="2"/>
        </w:numPr>
        <w:spacing w:before="60" w:after="60"/>
      </w:pPr>
      <w:r>
        <w:t>Disability</w:t>
      </w:r>
    </w:p>
    <w:p w14:paraId="1C23180A" w14:textId="77777777" w:rsidR="005D0991" w:rsidRDefault="005225E1">
      <w:pPr>
        <w:pStyle w:val="ListParagraph"/>
        <w:numPr>
          <w:ilvl w:val="0"/>
          <w:numId w:val="2"/>
        </w:numPr>
        <w:spacing w:before="60" w:after="60"/>
      </w:pPr>
      <w:r>
        <w:t>Gender reassignment</w:t>
      </w:r>
    </w:p>
    <w:p w14:paraId="095DEF02" w14:textId="77777777" w:rsidR="005D0991" w:rsidRDefault="005225E1">
      <w:pPr>
        <w:pStyle w:val="ListParagraph"/>
        <w:numPr>
          <w:ilvl w:val="0"/>
          <w:numId w:val="2"/>
        </w:numPr>
        <w:spacing w:before="60" w:after="60"/>
      </w:pPr>
      <w:r>
        <w:t>Marriage and civil partnership</w:t>
      </w:r>
    </w:p>
    <w:p w14:paraId="73A6DC1E" w14:textId="77777777" w:rsidR="005D0991" w:rsidRDefault="005225E1">
      <w:pPr>
        <w:pStyle w:val="ListParagraph"/>
        <w:numPr>
          <w:ilvl w:val="0"/>
          <w:numId w:val="2"/>
        </w:numPr>
        <w:spacing w:before="60" w:after="60"/>
      </w:pPr>
      <w:r>
        <w:t>Pregnancy and maternity</w:t>
      </w:r>
    </w:p>
    <w:p w14:paraId="6357542C" w14:textId="77777777" w:rsidR="005D0991" w:rsidRDefault="005225E1">
      <w:pPr>
        <w:pStyle w:val="ListParagraph"/>
        <w:numPr>
          <w:ilvl w:val="0"/>
          <w:numId w:val="2"/>
        </w:numPr>
        <w:spacing w:before="60" w:after="60"/>
      </w:pPr>
      <w:r>
        <w:t>Race (including colour, nationality, and ethnic or national origin)</w:t>
      </w:r>
    </w:p>
    <w:p w14:paraId="2844FDC4" w14:textId="77777777" w:rsidR="005D0991" w:rsidRDefault="005225E1">
      <w:pPr>
        <w:pStyle w:val="ListParagraph"/>
        <w:numPr>
          <w:ilvl w:val="0"/>
          <w:numId w:val="2"/>
        </w:numPr>
        <w:spacing w:before="60" w:after="60"/>
      </w:pPr>
      <w:r>
        <w:t>Religion or belief</w:t>
      </w:r>
    </w:p>
    <w:p w14:paraId="79C8239D" w14:textId="77777777" w:rsidR="005D0991" w:rsidRDefault="005225E1">
      <w:pPr>
        <w:pStyle w:val="ListParagraph"/>
        <w:numPr>
          <w:ilvl w:val="0"/>
          <w:numId w:val="2"/>
        </w:numPr>
        <w:spacing w:before="60" w:after="60"/>
      </w:pPr>
      <w:r>
        <w:t>Sex</w:t>
      </w:r>
    </w:p>
    <w:p w14:paraId="0E0B2EF5" w14:textId="77777777" w:rsidR="005D0991" w:rsidRDefault="005225E1">
      <w:pPr>
        <w:pStyle w:val="ListParagraph"/>
        <w:numPr>
          <w:ilvl w:val="0"/>
          <w:numId w:val="2"/>
        </w:numPr>
        <w:spacing w:before="60" w:after="60"/>
      </w:pPr>
      <w:r>
        <w:t>Sexual orientation</w:t>
      </w:r>
    </w:p>
    <w:p w14:paraId="5E15164A" w14:textId="77777777" w:rsidR="005D0991" w:rsidRDefault="005D0991">
      <w:pPr>
        <w:spacing w:before="80" w:after="80"/>
      </w:pPr>
    </w:p>
    <w:p w14:paraId="6A04F1F1" w14:textId="77777777" w:rsidR="005D0991" w:rsidRDefault="005225E1">
      <w:pPr>
        <w:spacing w:before="80" w:after="80"/>
      </w:pPr>
      <w:r>
        <w:t>We also recognise the importance of social class, socioeconomic background, and caring responsibilities as factors that can affect opportunity and inclusion, and we are committed to considering these in our practices even where they are not protected characteristics under law.</w:t>
      </w:r>
    </w:p>
    <w:p w14:paraId="5AC29B51" w14:textId="77777777" w:rsidR="005D0991" w:rsidRDefault="005D0991">
      <w:pPr>
        <w:spacing w:before="200" w:after="80"/>
      </w:pPr>
    </w:p>
    <w:p w14:paraId="76CD5A6C" w14:textId="77777777" w:rsidR="005D0991" w:rsidRDefault="005225E1">
      <w:pPr>
        <w:pStyle w:val="Heading1"/>
      </w:pPr>
      <w:r>
        <w:t>4. Our Commitments</w:t>
      </w:r>
    </w:p>
    <w:p w14:paraId="3F12E5EF" w14:textId="77777777" w:rsidR="005D0991" w:rsidRDefault="005225E1">
      <w:pPr>
        <w:spacing w:before="80" w:after="80"/>
      </w:pPr>
      <w:r>
        <w:t>EAP Research Consultancy commits to the following:</w:t>
      </w:r>
    </w:p>
    <w:p w14:paraId="530BCFAD" w14:textId="77777777" w:rsidR="005D0991" w:rsidRDefault="005D0991">
      <w:pPr>
        <w:spacing w:before="80" w:after="80"/>
      </w:pPr>
    </w:p>
    <w:p w14:paraId="072AEF20" w14:textId="77777777" w:rsidR="005D0991" w:rsidRDefault="005225E1">
      <w:pPr>
        <w:pStyle w:val="ListParagraph"/>
        <w:numPr>
          <w:ilvl w:val="0"/>
          <w:numId w:val="3"/>
        </w:numPr>
        <w:spacing w:before="80" w:after="80"/>
      </w:pPr>
      <w:r>
        <w:t>Actively encourage equality, diversity and inclusion in all aspects of our work, recognising that diverse teams and inclusive practices lead to better research, stronger partnerships, and more impactful outputs.</w:t>
      </w:r>
    </w:p>
    <w:p w14:paraId="152458D9" w14:textId="77777777" w:rsidR="005D0991" w:rsidRDefault="005225E1">
      <w:pPr>
        <w:pStyle w:val="ListParagraph"/>
        <w:numPr>
          <w:ilvl w:val="0"/>
          <w:numId w:val="3"/>
        </w:numPr>
        <w:spacing w:before="80" w:after="80"/>
      </w:pPr>
      <w:r>
        <w:t xml:space="preserve">Create a working environment free of bullying, harassment, victimisation and unlawful discrimination, where individual differences and the contributions of all staff are recognised and valued, and where dignity and respect are </w:t>
      </w:r>
      <w:proofErr w:type="gramStart"/>
      <w:r>
        <w:t>upheld at all times</w:t>
      </w:r>
      <w:proofErr w:type="gramEnd"/>
      <w:r>
        <w:t>.</w:t>
      </w:r>
    </w:p>
    <w:p w14:paraId="2E71357B" w14:textId="77777777" w:rsidR="005D0991" w:rsidRDefault="005225E1">
      <w:pPr>
        <w:pStyle w:val="ListParagraph"/>
        <w:numPr>
          <w:ilvl w:val="0"/>
          <w:numId w:val="3"/>
        </w:numPr>
        <w:spacing w:before="80" w:after="80"/>
      </w:pPr>
      <w:r>
        <w:t>Ensure that all directors, staff and associates understand their rights and responsibilities under this policy. All individuals should understand that they, as well as the organisation, can be held liable for acts of bullying, harassment, victimisation and unlawful discrimination in the course of their work.</w:t>
      </w:r>
    </w:p>
    <w:p w14:paraId="481D6F73" w14:textId="77777777" w:rsidR="005D0991" w:rsidRDefault="005225E1">
      <w:pPr>
        <w:pStyle w:val="ListParagraph"/>
        <w:numPr>
          <w:ilvl w:val="0"/>
          <w:numId w:val="3"/>
        </w:numPr>
        <w:spacing w:before="80" w:after="80"/>
      </w:pPr>
      <w:r>
        <w:t>Take seriously all complaints of bullying, harassment, victimisation and unlawful discrimination. Such acts will be dealt with as misconduct under our grievance and/or disciplinary procedures, and appropriate action will be taken. Particularly serious complaints could amount to gross misconduct. Sexual harassment may also constitute a criminal matter.</w:t>
      </w:r>
    </w:p>
    <w:p w14:paraId="2C49585C" w14:textId="77777777" w:rsidR="005D0991" w:rsidRDefault="005225E1">
      <w:pPr>
        <w:pStyle w:val="ListParagraph"/>
        <w:numPr>
          <w:ilvl w:val="0"/>
          <w:numId w:val="3"/>
        </w:numPr>
        <w:spacing w:before="80" w:after="80"/>
      </w:pPr>
      <w:r>
        <w:lastRenderedPageBreak/>
        <w:t>Make opportunities for training, development and progress available to all, ensuring that individuals are helped and encouraged to develop their full potential.</w:t>
      </w:r>
    </w:p>
    <w:p w14:paraId="14CF8323" w14:textId="77777777" w:rsidR="005D0991" w:rsidRDefault="005225E1">
      <w:pPr>
        <w:pStyle w:val="ListParagraph"/>
        <w:numPr>
          <w:ilvl w:val="0"/>
          <w:numId w:val="3"/>
        </w:numPr>
        <w:spacing w:before="80" w:after="80"/>
      </w:pPr>
      <w:r>
        <w:t>Base all decisions concerning engagement, promotion, and development on merit, except where specific exemptions or positive action are permitted under the Equality Act 2010.</w:t>
      </w:r>
    </w:p>
    <w:p w14:paraId="77E694A7" w14:textId="77777777" w:rsidR="005D0991" w:rsidRDefault="005225E1">
      <w:pPr>
        <w:pStyle w:val="ListParagraph"/>
        <w:numPr>
          <w:ilvl w:val="0"/>
          <w:numId w:val="3"/>
        </w:numPr>
        <w:spacing w:before="80" w:after="80"/>
      </w:pPr>
      <w:r>
        <w:t xml:space="preserve">Review our employment practices and procedures regularly to ensure </w:t>
      </w:r>
      <w:proofErr w:type="gramStart"/>
      <w:r>
        <w:t>fairness, and</w:t>
      </w:r>
      <w:proofErr w:type="gramEnd"/>
      <w:r>
        <w:t xml:space="preserve"> update them in response to changes in law or best practice.</w:t>
      </w:r>
    </w:p>
    <w:p w14:paraId="63E1BAAF" w14:textId="77777777" w:rsidR="005D0991" w:rsidRDefault="005225E1">
      <w:pPr>
        <w:pStyle w:val="ListParagraph"/>
        <w:numPr>
          <w:ilvl w:val="0"/>
          <w:numId w:val="3"/>
        </w:numPr>
        <w:spacing w:before="80" w:after="80"/>
      </w:pPr>
      <w:r>
        <w:t>Embed EDI principles in our research design and delivery, ensuring that our work is inclusive, accessible, and sensitive to the needs of diverse participants and communities.</w:t>
      </w:r>
    </w:p>
    <w:p w14:paraId="65C3BAB1" w14:textId="77777777" w:rsidR="005D0991" w:rsidRDefault="005D0991">
      <w:pPr>
        <w:spacing w:before="200" w:after="80"/>
      </w:pPr>
    </w:p>
    <w:p w14:paraId="20DE0074" w14:textId="77777777" w:rsidR="005D0991" w:rsidRDefault="005225E1">
      <w:pPr>
        <w:pStyle w:val="Heading1"/>
      </w:pPr>
      <w:r>
        <w:t>5. Proportionate Monitoring for a Micro-Enterprise</w:t>
      </w:r>
    </w:p>
    <w:p w14:paraId="7FC4280C" w14:textId="77777777" w:rsidR="005D0991" w:rsidRDefault="005225E1">
      <w:pPr>
        <w:spacing w:before="80" w:after="80"/>
      </w:pPr>
      <w:r>
        <w:t>EAP Research Consultancy recognises that, as a micro-enterprise with two directors and a small number of associates, formal workforce monitoring of the kind applied in larger organisations may not be proportionate or meaningful. We will not, therefore, collect demographic data for its own sake where doing so would be disproportionate to our size.</w:t>
      </w:r>
    </w:p>
    <w:p w14:paraId="23414042" w14:textId="77777777" w:rsidR="005D0991" w:rsidRDefault="005D0991">
      <w:pPr>
        <w:spacing w:before="80" w:after="80"/>
      </w:pPr>
    </w:p>
    <w:p w14:paraId="194AED09" w14:textId="77777777" w:rsidR="005D0991" w:rsidRDefault="005225E1">
      <w:pPr>
        <w:spacing w:before="80" w:after="80"/>
      </w:pPr>
      <w:r>
        <w:t>Instead, we commit to the following proportionate monitoring approach:</w:t>
      </w:r>
    </w:p>
    <w:p w14:paraId="6A742990" w14:textId="77777777" w:rsidR="005D0991" w:rsidRDefault="005225E1">
      <w:pPr>
        <w:pStyle w:val="ListParagraph"/>
        <w:numPr>
          <w:ilvl w:val="0"/>
          <w:numId w:val="2"/>
        </w:numPr>
        <w:spacing w:before="60" w:after="60"/>
      </w:pPr>
      <w:r>
        <w:t>Reviewing this policy and our EDI practices annually to assess whether they remain effective and fit for purpose</w:t>
      </w:r>
    </w:p>
    <w:p w14:paraId="056B7B78" w14:textId="77777777" w:rsidR="005D0991" w:rsidRDefault="005225E1">
      <w:pPr>
        <w:pStyle w:val="ListParagraph"/>
        <w:numPr>
          <w:ilvl w:val="0"/>
          <w:numId w:val="2"/>
        </w:numPr>
        <w:spacing w:before="60" w:after="60"/>
      </w:pPr>
      <w:r>
        <w:t>Reflecting on the diversity of our associate and partner network and actively seeking to diversify it where opportunities arise</w:t>
      </w:r>
    </w:p>
    <w:p w14:paraId="076C4B44" w14:textId="77777777" w:rsidR="005D0991" w:rsidRDefault="005225E1">
      <w:pPr>
        <w:pStyle w:val="ListParagraph"/>
        <w:numPr>
          <w:ilvl w:val="0"/>
          <w:numId w:val="2"/>
        </w:numPr>
        <w:spacing w:before="60" w:after="60"/>
      </w:pPr>
      <w:r>
        <w:t>Ensuring our recruitment and engagement processes are open, transparent, and accessible</w:t>
      </w:r>
    </w:p>
    <w:p w14:paraId="60902AAC" w14:textId="77777777" w:rsidR="005D0991" w:rsidRDefault="005225E1">
      <w:pPr>
        <w:pStyle w:val="ListParagraph"/>
        <w:numPr>
          <w:ilvl w:val="0"/>
          <w:numId w:val="2"/>
        </w:numPr>
        <w:spacing w:before="60" w:after="60"/>
      </w:pPr>
      <w:r>
        <w:t>Monitoring client-facing and participant-facing research practices to ensure they are inclusive and do not disadvantage any group</w:t>
      </w:r>
    </w:p>
    <w:p w14:paraId="15C1E074" w14:textId="77777777" w:rsidR="005D0991" w:rsidRDefault="005225E1">
      <w:pPr>
        <w:pStyle w:val="ListParagraph"/>
        <w:numPr>
          <w:ilvl w:val="0"/>
          <w:numId w:val="2"/>
        </w:numPr>
        <w:spacing w:before="60" w:after="60"/>
      </w:pPr>
      <w:r>
        <w:t>Considering EDI implications when designing research instruments, sampling strategies, and engagement methods</w:t>
      </w:r>
    </w:p>
    <w:p w14:paraId="49CC7F0F" w14:textId="77777777" w:rsidR="005D0991" w:rsidRDefault="005D0991">
      <w:pPr>
        <w:spacing w:before="80" w:after="80"/>
      </w:pPr>
    </w:p>
    <w:p w14:paraId="45332FC6" w14:textId="77777777" w:rsidR="005D0991" w:rsidRDefault="005225E1">
      <w:pPr>
        <w:spacing w:before="80" w:after="80"/>
      </w:pPr>
      <w:r>
        <w:t>As the organisation grows, we will review whether more formal monitoring processes become appropriate and proportionate.</w:t>
      </w:r>
    </w:p>
    <w:p w14:paraId="57BCAA27" w14:textId="77777777" w:rsidR="005D0991" w:rsidRDefault="005D0991">
      <w:pPr>
        <w:spacing w:before="200" w:after="80"/>
      </w:pPr>
    </w:p>
    <w:p w14:paraId="7BD8713B" w14:textId="77777777" w:rsidR="005D0991" w:rsidRDefault="005225E1">
      <w:pPr>
        <w:pStyle w:val="Heading1"/>
      </w:pPr>
      <w:r>
        <w:t>6. EDI in Our Research Practice</w:t>
      </w:r>
    </w:p>
    <w:p w14:paraId="397CE72F" w14:textId="77777777" w:rsidR="005D0991" w:rsidRDefault="005225E1">
      <w:pPr>
        <w:spacing w:before="80" w:after="80"/>
      </w:pPr>
      <w:r>
        <w:t>As a research and evaluation organisation, our commitment to EDI extends directly into how we design and deliver our work. We are committed to:</w:t>
      </w:r>
    </w:p>
    <w:p w14:paraId="07BDCE91" w14:textId="77777777" w:rsidR="005D0991" w:rsidRDefault="005225E1">
      <w:pPr>
        <w:pStyle w:val="ListParagraph"/>
        <w:numPr>
          <w:ilvl w:val="0"/>
          <w:numId w:val="2"/>
        </w:numPr>
        <w:spacing w:before="60" w:after="60"/>
      </w:pPr>
      <w:r>
        <w:t>Applying inclusive and accessible research methods that reduce barriers to participation for all groups, including those with disabilities, those from marginalised communities, and those with limited literacy or English language proficiency</w:t>
      </w:r>
    </w:p>
    <w:p w14:paraId="17AA5803" w14:textId="77777777" w:rsidR="005D0991" w:rsidRDefault="005225E1">
      <w:pPr>
        <w:pStyle w:val="ListParagraph"/>
        <w:numPr>
          <w:ilvl w:val="0"/>
          <w:numId w:val="2"/>
        </w:numPr>
        <w:spacing w:before="60" w:after="60"/>
      </w:pPr>
      <w:r>
        <w:t>Using trauma-informed and culturally sensitive approaches when engaging with vulnerable or seldom-heard populations</w:t>
      </w:r>
    </w:p>
    <w:p w14:paraId="7CFF1B91" w14:textId="77777777" w:rsidR="005D0991" w:rsidRDefault="005225E1">
      <w:pPr>
        <w:pStyle w:val="ListParagraph"/>
        <w:numPr>
          <w:ilvl w:val="0"/>
          <w:numId w:val="2"/>
        </w:numPr>
        <w:spacing w:before="60" w:after="60"/>
      </w:pPr>
      <w:r>
        <w:t>Designing data collection tools and participant materials that are accessible, use plain language, and are available in alternative formats on request</w:t>
      </w:r>
    </w:p>
    <w:p w14:paraId="61D17785" w14:textId="77777777" w:rsidR="005D0991" w:rsidRDefault="005225E1">
      <w:pPr>
        <w:pStyle w:val="ListParagraph"/>
        <w:numPr>
          <w:ilvl w:val="0"/>
          <w:numId w:val="2"/>
        </w:numPr>
        <w:spacing w:before="60" w:after="60"/>
      </w:pPr>
      <w:r>
        <w:lastRenderedPageBreak/>
        <w:t>Ensuring that research findings reflect the diversity of those affected by the issues under study, and that the voices of marginalised groups are not lost in synthesis or reporting</w:t>
      </w:r>
    </w:p>
    <w:p w14:paraId="3BE30E3F" w14:textId="77777777" w:rsidR="005D0991" w:rsidRDefault="005225E1">
      <w:pPr>
        <w:pStyle w:val="ListParagraph"/>
        <w:numPr>
          <w:ilvl w:val="0"/>
          <w:numId w:val="2"/>
        </w:numPr>
        <w:spacing w:before="60" w:after="60"/>
      </w:pPr>
      <w:r>
        <w:t>Working with clients to embed EDI considerations in the design of the services and programmes we evaluate</w:t>
      </w:r>
    </w:p>
    <w:p w14:paraId="10A65411" w14:textId="77777777" w:rsidR="005D0991" w:rsidRDefault="005D0991">
      <w:pPr>
        <w:spacing w:before="200" w:after="80"/>
      </w:pPr>
    </w:p>
    <w:p w14:paraId="57F3C719" w14:textId="77777777" w:rsidR="005D0991" w:rsidRDefault="005225E1">
      <w:pPr>
        <w:pStyle w:val="Heading1"/>
      </w:pPr>
      <w:r>
        <w:t>7. Anti-Racism Commitment</w:t>
      </w:r>
    </w:p>
    <w:p w14:paraId="3E29E964" w14:textId="77777777" w:rsidR="005D0991" w:rsidRDefault="005225E1">
      <w:pPr>
        <w:spacing w:before="80" w:after="80"/>
      </w:pPr>
      <w:r>
        <w:t xml:space="preserve">EAP Research Consultancy is explicitly and actively opposed to racism in all its forms, including direct and indirect discrimination, stereotyping, microaggressions, structural racism, and any other conduct or practice that disadvantages people </w:t>
      </w:r>
      <w:proofErr w:type="gramStart"/>
      <w:r>
        <w:t>on the basis of</w:t>
      </w:r>
      <w:proofErr w:type="gramEnd"/>
      <w:r>
        <w:t xml:space="preserve"> their ethnicity, national origin, or colour.</w:t>
      </w:r>
    </w:p>
    <w:p w14:paraId="68EB7CF7" w14:textId="77777777" w:rsidR="005D0991" w:rsidRDefault="005D0991">
      <w:pPr>
        <w:spacing w:before="80" w:after="80"/>
      </w:pPr>
    </w:p>
    <w:p w14:paraId="2D25EF31" w14:textId="77777777" w:rsidR="005D0991" w:rsidRDefault="005225E1">
      <w:pPr>
        <w:spacing w:before="80" w:after="80"/>
      </w:pPr>
      <w:r>
        <w:t>We believe that:</w:t>
      </w:r>
    </w:p>
    <w:p w14:paraId="2355EE03" w14:textId="77777777" w:rsidR="005D0991" w:rsidRDefault="005225E1">
      <w:pPr>
        <w:pStyle w:val="ListParagraph"/>
        <w:numPr>
          <w:ilvl w:val="0"/>
          <w:numId w:val="2"/>
        </w:numPr>
        <w:spacing w:before="60" w:after="60"/>
      </w:pPr>
      <w:r>
        <w:t>Everyone has the right to be treated with fairness, dignity, and respect</w:t>
      </w:r>
    </w:p>
    <w:p w14:paraId="3298C04F" w14:textId="77777777" w:rsidR="005D0991" w:rsidRDefault="005225E1">
      <w:pPr>
        <w:pStyle w:val="ListParagraph"/>
        <w:numPr>
          <w:ilvl w:val="0"/>
          <w:numId w:val="2"/>
        </w:numPr>
        <w:spacing w:before="60" w:after="60"/>
      </w:pPr>
      <w:r>
        <w:t>Everyone has the right to a working environment with equal opportunity</w:t>
      </w:r>
    </w:p>
    <w:p w14:paraId="29165AA9" w14:textId="77777777" w:rsidR="005D0991" w:rsidRDefault="005225E1">
      <w:pPr>
        <w:pStyle w:val="ListParagraph"/>
        <w:numPr>
          <w:ilvl w:val="0"/>
          <w:numId w:val="2"/>
        </w:numPr>
        <w:spacing w:before="60" w:after="60"/>
      </w:pPr>
      <w:r>
        <w:t>Cultural and social diversity enriches our work, our thinking, and our organisation</w:t>
      </w:r>
    </w:p>
    <w:p w14:paraId="59A0D591" w14:textId="77777777" w:rsidR="005D0991" w:rsidRDefault="005225E1">
      <w:pPr>
        <w:pStyle w:val="ListParagraph"/>
        <w:numPr>
          <w:ilvl w:val="0"/>
          <w:numId w:val="2"/>
        </w:numPr>
        <w:spacing w:before="60" w:after="60"/>
      </w:pPr>
      <w:r>
        <w:t>Racism is not merely an individual act but can be embedded in systems, structures, and practices — and we are committed to identifying and challenging it wherever it occurs</w:t>
      </w:r>
    </w:p>
    <w:p w14:paraId="0A2E0328" w14:textId="77777777" w:rsidR="005D0991" w:rsidRDefault="005D0991">
      <w:pPr>
        <w:spacing w:before="80" w:after="80"/>
      </w:pPr>
    </w:p>
    <w:p w14:paraId="223BC317" w14:textId="77777777" w:rsidR="005D0991" w:rsidRDefault="005225E1">
      <w:pPr>
        <w:spacing w:before="80" w:after="80"/>
      </w:pPr>
      <w:r>
        <w:t>We will not tolerate or condone racist behaviour from any director, staff member, associate, client, or partner. Our commitment to anti-racism informs all aspects of our policy, practice, and research design.</w:t>
      </w:r>
    </w:p>
    <w:p w14:paraId="69B80D9D" w14:textId="77777777" w:rsidR="005D0991" w:rsidRDefault="005D0991">
      <w:pPr>
        <w:spacing w:before="80" w:after="80"/>
      </w:pPr>
    </w:p>
    <w:p w14:paraId="54EF2C15" w14:textId="77777777" w:rsidR="005D0991" w:rsidRDefault="005225E1">
      <w:pPr>
        <w:spacing w:before="80" w:after="80"/>
      </w:pPr>
      <w:r>
        <w:t>Our full Anti-Racism Statement is published separately on our website and is available on request.</w:t>
      </w:r>
    </w:p>
    <w:p w14:paraId="767AF89E" w14:textId="77777777" w:rsidR="005D0991" w:rsidRDefault="005D0991">
      <w:pPr>
        <w:spacing w:before="200" w:after="80"/>
      </w:pPr>
    </w:p>
    <w:p w14:paraId="66A0C12E" w14:textId="77777777" w:rsidR="005D0991" w:rsidRDefault="005225E1">
      <w:pPr>
        <w:pStyle w:val="Heading1"/>
      </w:pPr>
      <w:r>
        <w:t>8. Responsibilities</w:t>
      </w:r>
    </w:p>
    <w:p w14:paraId="401FDE3F" w14:textId="77777777" w:rsidR="005D0991" w:rsidRDefault="005225E1">
      <w:pPr>
        <w:spacing w:before="80" w:after="80"/>
      </w:pPr>
      <w:r>
        <w:t>The Managing Director (Dr Jonathan Hobson) has overall responsibility for this policy and for ensuring it is implemented effectively across the organisation. All directors, staff and associates share responsibility for upholding the principles of this policy in their day-to-day work.</w:t>
      </w:r>
    </w:p>
    <w:p w14:paraId="219DFD3E" w14:textId="77777777" w:rsidR="005D0991" w:rsidRDefault="005D0991">
      <w:pPr>
        <w:spacing w:before="80" w:after="80"/>
      </w:pPr>
    </w:p>
    <w:p w14:paraId="4508EBA5" w14:textId="77777777" w:rsidR="005D0991" w:rsidRDefault="005225E1">
      <w:pPr>
        <w:spacing w:before="80" w:after="80"/>
      </w:pPr>
      <w:r>
        <w:t>Anyone who believes they have experienced or witnessed a breach of this policy should raise their concern with the Managing Director in the first instance. Where a concern relates to the Managing Director, it may be raised with the other director (Dr Daniel Ash).</w:t>
      </w:r>
    </w:p>
    <w:p w14:paraId="0244F4A8" w14:textId="77777777" w:rsidR="005D0991" w:rsidRDefault="005225E1">
      <w:pPr>
        <w:spacing w:before="80" w:after="80"/>
      </w:pPr>
      <w:r>
        <w:t>EAP Research Consultancy provides a confidential means for all employees, associates, and workers to report concerns about discrimination, harassment, or any breach of this policy. Concerns can be submitted confidentially by email to:</w:t>
      </w:r>
    </w:p>
    <w:p w14:paraId="2A6A9119" w14:textId="77777777" w:rsidR="005D0991" w:rsidRDefault="005225E1">
      <w:pPr>
        <w:spacing w:before="80" w:after="80"/>
        <w:jc w:val="center"/>
      </w:pPr>
      <w:r>
        <w:rPr>
          <w:b/>
          <w:bCs/>
          <w:color w:val="1F3864"/>
        </w:rPr>
        <w:t>info@eaprc.co.uk</w:t>
      </w:r>
    </w:p>
    <w:p w14:paraId="554D2B2C" w14:textId="77777777" w:rsidR="005D0991" w:rsidRDefault="005225E1">
      <w:pPr>
        <w:spacing w:before="80" w:after="80"/>
      </w:pPr>
      <w:r>
        <w:t xml:space="preserve">Reports made to this address will be treated with the strictest confidence and will only be shared with those who need to be involved in addressing the concern. Where a concern relates to the Managing Director (Dr Jonathan Hobson), it should be directed to the other director, Dr Daniel Ash, who can also be reached via the above address with the message </w:t>
      </w:r>
      <w:r>
        <w:lastRenderedPageBreak/>
        <w:t>marked for his attention. No individual will be penalised or treated less favourably for raising a concern in good faith.</w:t>
      </w:r>
    </w:p>
    <w:p w14:paraId="0C7E2595" w14:textId="77777777" w:rsidR="005D0991" w:rsidRDefault="005D0991">
      <w:pPr>
        <w:spacing w:before="200" w:after="80"/>
      </w:pPr>
    </w:p>
    <w:p w14:paraId="5E747C80" w14:textId="77777777" w:rsidR="005D0991" w:rsidRDefault="005225E1">
      <w:pPr>
        <w:pStyle w:val="Heading1"/>
      </w:pPr>
      <w:r>
        <w:t>9. Review</w:t>
      </w:r>
    </w:p>
    <w:p w14:paraId="35D91D42" w14:textId="77777777" w:rsidR="005D0991" w:rsidRDefault="005225E1">
      <w:pPr>
        <w:spacing w:before="80" w:after="80"/>
      </w:pPr>
      <w:r>
        <w:t>This policy will be reviewed annually or sooner if required by changes in legislation, best practice, or the nature of our business. It is not a static document — we are committed to continuous improvement in our EDI practices and to updating this policy to reflect that progress.</w:t>
      </w:r>
    </w:p>
    <w:p w14:paraId="65442FE3" w14:textId="77777777" w:rsidR="005D0991" w:rsidRDefault="005D0991">
      <w:pPr>
        <w:spacing w:before="200" w:after="80"/>
      </w:pPr>
    </w:p>
    <w:p w14:paraId="03EDF92D" w14:textId="77777777" w:rsidR="005D0991" w:rsidRDefault="005225E1">
      <w:pPr>
        <w:pStyle w:val="Heading1"/>
      </w:pPr>
      <w:r>
        <w:t>10. Sign Off</w:t>
      </w:r>
    </w:p>
    <w:p w14:paraId="5B7CE16D" w14:textId="77777777" w:rsidR="005D0991" w:rsidRDefault="005225E1">
      <w:pPr>
        <w:spacing w:before="80" w:after="80"/>
      </w:pPr>
      <w:r>
        <w:t xml:space="preserve">This Equality, Diversity and Inclusion Policy </w:t>
      </w:r>
      <w:proofErr w:type="gramStart"/>
      <w:r>
        <w:t>is</w:t>
      </w:r>
      <w:proofErr w:type="gramEnd"/>
      <w:r>
        <w:t xml:space="preserve"> fully supported by the Board of Directors of EAP Research Consultancy Limited and has been approved by:</w:t>
      </w:r>
    </w:p>
    <w:p w14:paraId="60E107A2" w14:textId="77777777" w:rsidR="005D0991" w:rsidRDefault="005D0991">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5D0991" w14:paraId="40CF1364"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3EEC76A" w14:textId="77777777" w:rsidR="005D0991" w:rsidRDefault="005225E1">
            <w:r>
              <w:rPr>
                <w:b/>
                <w:bCs/>
              </w:rPr>
              <w:t>Name:</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65071F" w14:textId="77777777" w:rsidR="005D0991" w:rsidRDefault="005225E1">
            <w:r>
              <w:t>Dr Jonathan Hobson</w:t>
            </w:r>
          </w:p>
        </w:tc>
      </w:tr>
      <w:tr w:rsidR="005D0991" w14:paraId="7E81973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327C914" w14:textId="77777777" w:rsidR="005D0991" w:rsidRDefault="005225E1">
            <w:r>
              <w:rPr>
                <w:b/>
                <w:bCs/>
              </w:rPr>
              <w:t>Position:</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59F7BC" w14:textId="77777777" w:rsidR="005D0991" w:rsidRDefault="005225E1">
            <w:r>
              <w:t>Managing Director</w:t>
            </w:r>
          </w:p>
        </w:tc>
      </w:tr>
      <w:tr w:rsidR="005D0991" w14:paraId="4DD217C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C9455AE" w14:textId="77777777" w:rsidR="005D0991" w:rsidRDefault="005225E1">
            <w:r>
              <w:rPr>
                <w:b/>
                <w:bCs/>
              </w:rPr>
              <w:t>Date:</w:t>
            </w:r>
          </w:p>
        </w:tc>
        <w:tc>
          <w:tcPr>
            <w:tcW w:w="6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A7CF8C" w14:textId="77777777" w:rsidR="005D0991" w:rsidRDefault="005225E1">
            <w:r>
              <w:t>March 2026</w:t>
            </w:r>
          </w:p>
        </w:tc>
      </w:tr>
      <w:tr w:rsidR="005D0991" w14:paraId="4F78697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FE8340C" w14:textId="77777777" w:rsidR="005D0991" w:rsidRDefault="005225E1">
            <w:r>
              <w:rPr>
                <w:b/>
                <w:bCs/>
              </w:rPr>
              <w:t>Signature:</w:t>
            </w:r>
          </w:p>
        </w:tc>
        <w:tc>
          <w:tcPr>
            <w:tcW w:w="6526" w:type="dxa"/>
            <w:tcBorders>
              <w:top w:val="single" w:sz="1" w:space="0" w:color="CCCCCC"/>
              <w:left w:val="single" w:sz="1" w:space="0" w:color="CCCCCC"/>
              <w:bottom w:val="single" w:sz="1" w:space="0" w:color="CCCCCC"/>
              <w:right w:val="single" w:sz="1" w:space="0" w:color="CCCCCC"/>
            </w:tcBorders>
            <w:tcMar>
              <w:top w:w="160" w:type="dxa"/>
              <w:left w:w="120" w:type="dxa"/>
              <w:bottom w:w="160" w:type="dxa"/>
              <w:right w:w="120" w:type="dxa"/>
            </w:tcMar>
          </w:tcPr>
          <w:p w14:paraId="5A216DA6" w14:textId="77777777" w:rsidR="005D0991" w:rsidRDefault="005D0991"/>
        </w:tc>
      </w:tr>
    </w:tbl>
    <w:p w14:paraId="59731D93" w14:textId="77777777" w:rsidR="005D0991" w:rsidRDefault="005D0991">
      <w:pPr>
        <w:spacing w:before="80" w:after="80"/>
      </w:pPr>
    </w:p>
    <w:p w14:paraId="30426958" w14:textId="77777777" w:rsidR="005D0991" w:rsidRDefault="005225E1">
      <w:pPr>
        <w:spacing w:before="120" w:after="80"/>
      </w:pPr>
      <w:r>
        <w:t>This policy is published on the EAP Research Consultancy website at www.eaprc.co.uk and is available to clients, partners, and associates on request.</w:t>
      </w:r>
    </w:p>
    <w:sectPr w:rsidR="005D099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7C91" w14:textId="77777777" w:rsidR="005225E1" w:rsidRDefault="005225E1" w:rsidP="002978CE">
      <w:r>
        <w:separator/>
      </w:r>
    </w:p>
  </w:endnote>
  <w:endnote w:type="continuationSeparator" w:id="0">
    <w:p w14:paraId="6D481F21" w14:textId="77777777" w:rsidR="005225E1" w:rsidRDefault="005225E1" w:rsidP="0029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1079872374"/>
      <w:docPartObj>
        <w:docPartGallery w:val="Page Numbers (Bottom of Page)"/>
        <w:docPartUnique/>
      </w:docPartObj>
    </w:sdtPr>
    <w:sdtEndPr>
      <w:rPr>
        <w:spacing w:val="60"/>
      </w:rPr>
    </w:sdtEndPr>
    <w:sdtContent>
      <w:p w14:paraId="7526F6D0" w14:textId="77777777" w:rsidR="002978CE" w:rsidRPr="00A10756" w:rsidRDefault="002978CE" w:rsidP="002978CE">
        <w:pPr>
          <w:pStyle w:val="Footer"/>
          <w:pBdr>
            <w:top w:val="single" w:sz="4" w:space="1" w:color="D9D9D9" w:themeColor="background1" w:themeShade="D9"/>
          </w:pBdr>
          <w:rPr>
            <w:color w:val="002060"/>
          </w:rPr>
        </w:pPr>
        <w:r>
          <w:rPr>
            <w:color w:val="002060"/>
          </w:rPr>
          <w:t>EAP Research Consultancy Limited</w:t>
        </w:r>
        <w:r>
          <w:rPr>
            <w:color w:val="002060"/>
          </w:rPr>
          <w:tab/>
          <w:t xml:space="preserve">       </w:t>
        </w:r>
        <w:r w:rsidRPr="00284A9E">
          <w:rPr>
            <w:color w:val="002060"/>
          </w:rPr>
          <w:t>info@eaprc.co</w:t>
        </w:r>
        <w:r>
          <w:rPr>
            <w:color w:val="002060"/>
          </w:rPr>
          <w:t xml:space="preserve">.uk       </w:t>
        </w:r>
        <w:r w:rsidRPr="00C4041C">
          <w:rPr>
            <w:color w:val="002060"/>
          </w:rPr>
          <w:t>www. eaprc.co</w:t>
        </w:r>
        <w:r>
          <w:rPr>
            <w:color w:val="002060"/>
          </w:rPr>
          <w:t>.uk</w:t>
        </w:r>
        <w:r>
          <w:rPr>
            <w:color w:val="002060"/>
          </w:rPr>
          <w:tab/>
        </w:r>
        <w:r w:rsidRPr="00A10756">
          <w:rPr>
            <w:color w:val="002060"/>
          </w:rPr>
          <w:fldChar w:fldCharType="begin"/>
        </w:r>
        <w:r w:rsidRPr="00A10756">
          <w:rPr>
            <w:color w:val="002060"/>
          </w:rPr>
          <w:instrText xml:space="preserve"> PAGE   \* MERGEFORMAT </w:instrText>
        </w:r>
        <w:r w:rsidRPr="00A10756">
          <w:rPr>
            <w:color w:val="002060"/>
          </w:rPr>
          <w:fldChar w:fldCharType="separate"/>
        </w:r>
        <w:r>
          <w:rPr>
            <w:color w:val="002060"/>
          </w:rPr>
          <w:t>1</w:t>
        </w:r>
        <w:r w:rsidRPr="00A10756">
          <w:rPr>
            <w:noProof/>
            <w:color w:val="002060"/>
          </w:rPr>
          <w:fldChar w:fldCharType="end"/>
        </w:r>
        <w:r w:rsidRPr="00A10756">
          <w:rPr>
            <w:color w:val="002060"/>
          </w:rPr>
          <w:t xml:space="preserve"> | </w:t>
        </w:r>
        <w:r w:rsidRPr="00A10756">
          <w:rPr>
            <w:color w:val="00206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D757" w14:textId="77777777" w:rsidR="005225E1" w:rsidRDefault="005225E1" w:rsidP="002978CE">
      <w:r>
        <w:separator/>
      </w:r>
    </w:p>
  </w:footnote>
  <w:footnote w:type="continuationSeparator" w:id="0">
    <w:p w14:paraId="2BE9DD4F" w14:textId="77777777" w:rsidR="005225E1" w:rsidRDefault="005225E1" w:rsidP="00297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DF0D" w14:textId="37033F22" w:rsidR="002978CE" w:rsidRDefault="002978CE">
    <w:pPr>
      <w:pStyle w:val="Header"/>
    </w:pPr>
    <w:r>
      <w:rPr>
        <w:noProof/>
      </w:rPr>
      <w:drawing>
        <wp:anchor distT="0" distB="0" distL="114300" distR="114300" simplePos="0" relativeHeight="251659264" behindDoc="0" locked="0" layoutInCell="1" allowOverlap="1" wp14:anchorId="5FFCD9DA" wp14:editId="228C4BBE">
          <wp:simplePos x="0" y="0"/>
          <wp:positionH relativeFrom="column">
            <wp:posOffset>-152400</wp:posOffset>
          </wp:positionH>
          <wp:positionV relativeFrom="paragraph">
            <wp:posOffset>-210820</wp:posOffset>
          </wp:positionV>
          <wp:extent cx="2683823" cy="64930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54615" b="21191"/>
                  <a:stretch/>
                </pic:blipFill>
                <pic:spPr bwMode="auto">
                  <a:xfrm>
                    <a:off x="0" y="0"/>
                    <a:ext cx="2683823" cy="6493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71666" w14:textId="77777777" w:rsidR="002978CE" w:rsidRDefault="002978CE">
    <w:pPr>
      <w:pStyle w:val="Header"/>
    </w:pPr>
  </w:p>
  <w:p w14:paraId="7D0BCD35" w14:textId="77777777" w:rsidR="002978CE" w:rsidRDefault="00297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64EF"/>
    <w:multiLevelType w:val="hybridMultilevel"/>
    <w:tmpl w:val="0374BED8"/>
    <w:lvl w:ilvl="0" w:tplc="D88AA1C0">
      <w:start w:val="1"/>
      <w:numFmt w:val="bullet"/>
      <w:lvlText w:val="•"/>
      <w:lvlJc w:val="left"/>
      <w:pPr>
        <w:ind w:left="720" w:hanging="360"/>
      </w:pPr>
    </w:lvl>
    <w:lvl w:ilvl="1" w:tplc="AC2CB78E">
      <w:numFmt w:val="decimal"/>
      <w:lvlText w:val=""/>
      <w:lvlJc w:val="left"/>
    </w:lvl>
    <w:lvl w:ilvl="2" w:tplc="4C140842">
      <w:numFmt w:val="decimal"/>
      <w:lvlText w:val=""/>
      <w:lvlJc w:val="left"/>
    </w:lvl>
    <w:lvl w:ilvl="3" w:tplc="439887CA">
      <w:numFmt w:val="decimal"/>
      <w:lvlText w:val=""/>
      <w:lvlJc w:val="left"/>
    </w:lvl>
    <w:lvl w:ilvl="4" w:tplc="C0A64F04">
      <w:numFmt w:val="decimal"/>
      <w:lvlText w:val=""/>
      <w:lvlJc w:val="left"/>
    </w:lvl>
    <w:lvl w:ilvl="5" w:tplc="D80CF8F4">
      <w:numFmt w:val="decimal"/>
      <w:lvlText w:val=""/>
      <w:lvlJc w:val="left"/>
    </w:lvl>
    <w:lvl w:ilvl="6" w:tplc="3AD8D2C8">
      <w:numFmt w:val="decimal"/>
      <w:lvlText w:val=""/>
      <w:lvlJc w:val="left"/>
    </w:lvl>
    <w:lvl w:ilvl="7" w:tplc="E110E784">
      <w:numFmt w:val="decimal"/>
      <w:lvlText w:val=""/>
      <w:lvlJc w:val="left"/>
    </w:lvl>
    <w:lvl w:ilvl="8" w:tplc="4A365C9A">
      <w:numFmt w:val="decimal"/>
      <w:lvlText w:val=""/>
      <w:lvlJc w:val="left"/>
    </w:lvl>
  </w:abstractNum>
  <w:abstractNum w:abstractNumId="1" w15:restartNumberingAfterBreak="0">
    <w:nsid w:val="5A4F5097"/>
    <w:multiLevelType w:val="hybridMultilevel"/>
    <w:tmpl w:val="E19A70BC"/>
    <w:lvl w:ilvl="0" w:tplc="35A8C51E">
      <w:start w:val="1"/>
      <w:numFmt w:val="bullet"/>
      <w:lvlText w:val="●"/>
      <w:lvlJc w:val="left"/>
      <w:pPr>
        <w:ind w:left="720" w:hanging="360"/>
      </w:pPr>
    </w:lvl>
    <w:lvl w:ilvl="1" w:tplc="B588D174">
      <w:start w:val="1"/>
      <w:numFmt w:val="bullet"/>
      <w:lvlText w:val="○"/>
      <w:lvlJc w:val="left"/>
      <w:pPr>
        <w:ind w:left="1440" w:hanging="360"/>
      </w:pPr>
    </w:lvl>
    <w:lvl w:ilvl="2" w:tplc="EB7EEE18">
      <w:start w:val="1"/>
      <w:numFmt w:val="bullet"/>
      <w:lvlText w:val="■"/>
      <w:lvlJc w:val="left"/>
      <w:pPr>
        <w:ind w:left="2160" w:hanging="360"/>
      </w:pPr>
    </w:lvl>
    <w:lvl w:ilvl="3" w:tplc="BFE2D982">
      <w:start w:val="1"/>
      <w:numFmt w:val="bullet"/>
      <w:lvlText w:val="●"/>
      <w:lvlJc w:val="left"/>
      <w:pPr>
        <w:ind w:left="2880" w:hanging="360"/>
      </w:pPr>
    </w:lvl>
    <w:lvl w:ilvl="4" w:tplc="FB3245D4">
      <w:start w:val="1"/>
      <w:numFmt w:val="bullet"/>
      <w:lvlText w:val="○"/>
      <w:lvlJc w:val="left"/>
      <w:pPr>
        <w:ind w:left="3600" w:hanging="360"/>
      </w:pPr>
    </w:lvl>
    <w:lvl w:ilvl="5" w:tplc="2786B632">
      <w:start w:val="1"/>
      <w:numFmt w:val="bullet"/>
      <w:lvlText w:val="■"/>
      <w:lvlJc w:val="left"/>
      <w:pPr>
        <w:ind w:left="4320" w:hanging="360"/>
      </w:pPr>
    </w:lvl>
    <w:lvl w:ilvl="6" w:tplc="152EDA96">
      <w:start w:val="1"/>
      <w:numFmt w:val="bullet"/>
      <w:lvlText w:val="●"/>
      <w:lvlJc w:val="left"/>
      <w:pPr>
        <w:ind w:left="5040" w:hanging="360"/>
      </w:pPr>
    </w:lvl>
    <w:lvl w:ilvl="7" w:tplc="30E42004">
      <w:start w:val="1"/>
      <w:numFmt w:val="bullet"/>
      <w:lvlText w:val="●"/>
      <w:lvlJc w:val="left"/>
      <w:pPr>
        <w:ind w:left="5760" w:hanging="360"/>
      </w:pPr>
    </w:lvl>
    <w:lvl w:ilvl="8" w:tplc="B5482480">
      <w:start w:val="1"/>
      <w:numFmt w:val="bullet"/>
      <w:lvlText w:val="●"/>
      <w:lvlJc w:val="left"/>
      <w:pPr>
        <w:ind w:left="6480" w:hanging="360"/>
      </w:pPr>
    </w:lvl>
  </w:abstractNum>
  <w:abstractNum w:abstractNumId="2" w15:restartNumberingAfterBreak="0">
    <w:nsid w:val="758A7B19"/>
    <w:multiLevelType w:val="hybridMultilevel"/>
    <w:tmpl w:val="70A605D2"/>
    <w:lvl w:ilvl="0" w:tplc="8DC065A0">
      <w:start w:val="1"/>
      <w:numFmt w:val="decimal"/>
      <w:lvlText w:val="%1."/>
      <w:lvlJc w:val="left"/>
      <w:pPr>
        <w:ind w:left="720" w:hanging="360"/>
      </w:pPr>
    </w:lvl>
    <w:lvl w:ilvl="1" w:tplc="2ECEF690">
      <w:numFmt w:val="decimal"/>
      <w:lvlText w:val=""/>
      <w:lvlJc w:val="left"/>
    </w:lvl>
    <w:lvl w:ilvl="2" w:tplc="AE800EB8">
      <w:numFmt w:val="decimal"/>
      <w:lvlText w:val=""/>
      <w:lvlJc w:val="left"/>
    </w:lvl>
    <w:lvl w:ilvl="3" w:tplc="17FA23A8">
      <w:numFmt w:val="decimal"/>
      <w:lvlText w:val=""/>
      <w:lvlJc w:val="left"/>
    </w:lvl>
    <w:lvl w:ilvl="4" w:tplc="34D676EC">
      <w:numFmt w:val="decimal"/>
      <w:lvlText w:val=""/>
      <w:lvlJc w:val="left"/>
    </w:lvl>
    <w:lvl w:ilvl="5" w:tplc="D9287AAC">
      <w:numFmt w:val="decimal"/>
      <w:lvlText w:val=""/>
      <w:lvlJc w:val="left"/>
    </w:lvl>
    <w:lvl w:ilvl="6" w:tplc="BA82B718">
      <w:numFmt w:val="decimal"/>
      <w:lvlText w:val=""/>
      <w:lvlJc w:val="left"/>
    </w:lvl>
    <w:lvl w:ilvl="7" w:tplc="B218DFE2">
      <w:numFmt w:val="decimal"/>
      <w:lvlText w:val=""/>
      <w:lvlJc w:val="left"/>
    </w:lvl>
    <w:lvl w:ilvl="8" w:tplc="85467258">
      <w:numFmt w:val="decimal"/>
      <w:lvlText w:val=""/>
      <w:lvlJc w:val="left"/>
    </w:lvl>
  </w:abstractNum>
  <w:num w:numId="1" w16cid:durableId="280652857">
    <w:abstractNumId w:val="1"/>
    <w:lvlOverride w:ilvl="0">
      <w:startOverride w:val="1"/>
    </w:lvlOverride>
  </w:num>
  <w:num w:numId="2" w16cid:durableId="1823741182">
    <w:abstractNumId w:val="0"/>
    <w:lvlOverride w:ilvl="0">
      <w:startOverride w:val="1"/>
    </w:lvlOverride>
  </w:num>
  <w:num w:numId="3" w16cid:durableId="139920455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991"/>
    <w:rsid w:val="000C14C8"/>
    <w:rsid w:val="002978CE"/>
    <w:rsid w:val="005225E1"/>
    <w:rsid w:val="005B0084"/>
    <w:rsid w:val="005D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C4C2"/>
  <w15:docId w15:val="{32CD8260-DA80-40B5-A124-A5E2365A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semiHidden/>
    <w:unhideWhenUsed/>
    <w:qFormat/>
    <w:pPr>
      <w:spacing w:before="240" w:after="120"/>
      <w:outlineLvl w:val="1"/>
    </w:pPr>
    <w:rPr>
      <w:b/>
      <w:bCs/>
      <w:color w:val="2E509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978CE"/>
    <w:pPr>
      <w:tabs>
        <w:tab w:val="center" w:pos="4513"/>
        <w:tab w:val="right" w:pos="9026"/>
      </w:tabs>
    </w:pPr>
  </w:style>
  <w:style w:type="character" w:customStyle="1" w:styleId="HeaderChar">
    <w:name w:val="Header Char"/>
    <w:basedOn w:val="DefaultParagraphFont"/>
    <w:link w:val="Header"/>
    <w:uiPriority w:val="99"/>
    <w:rsid w:val="002978CE"/>
  </w:style>
  <w:style w:type="paragraph" w:styleId="Footer">
    <w:name w:val="footer"/>
    <w:basedOn w:val="Normal"/>
    <w:link w:val="FooterChar"/>
    <w:uiPriority w:val="99"/>
    <w:unhideWhenUsed/>
    <w:rsid w:val="002978CE"/>
    <w:pPr>
      <w:tabs>
        <w:tab w:val="center" w:pos="4513"/>
        <w:tab w:val="right" w:pos="9026"/>
      </w:tabs>
    </w:pPr>
  </w:style>
  <w:style w:type="character" w:customStyle="1" w:styleId="FooterChar">
    <w:name w:val="Footer Char"/>
    <w:basedOn w:val="DefaultParagraphFont"/>
    <w:link w:val="Footer"/>
    <w:uiPriority w:val="99"/>
    <w:rsid w:val="0029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8250</Characters>
  <Application>Microsoft Office Word</Application>
  <DocSecurity>0</DocSecurity>
  <Lines>275</Lines>
  <Paragraphs>118</Paragraphs>
  <ScaleCrop>false</ScaleCrop>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Jonathan Hobson (EAP Research Consultancy)</cp:lastModifiedBy>
  <cp:revision>3</cp:revision>
  <dcterms:created xsi:type="dcterms:W3CDTF">2026-03-19T19:38:00Z</dcterms:created>
  <dcterms:modified xsi:type="dcterms:W3CDTF">2026-03-19T19:38:00Z</dcterms:modified>
</cp:coreProperties>
</file>